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B5" w:rsidRDefault="00E441B5" w:rsidP="00E441B5">
      <w:pPr>
        <w:pStyle w:val="ConsPlusNormal"/>
        <w:jc w:val="right"/>
      </w:pPr>
      <w:r>
        <w:t>Приложение N 15</w:t>
      </w:r>
    </w:p>
    <w:p w:rsidR="00E441B5" w:rsidRDefault="00E441B5" w:rsidP="00E441B5">
      <w:pPr>
        <w:pStyle w:val="ConsPlusNormal"/>
        <w:jc w:val="right"/>
      </w:pPr>
      <w:r>
        <w:t>к Учетной политике ГАБУ АО</w:t>
      </w:r>
    </w:p>
    <w:p w:rsidR="00E441B5" w:rsidRDefault="00E441B5" w:rsidP="00E441B5">
      <w:pPr>
        <w:pStyle w:val="ConsPlusNormal"/>
        <w:jc w:val="right"/>
      </w:pPr>
      <w:r>
        <w:t>"Вельская СКОШИ"</w:t>
      </w:r>
    </w:p>
    <w:p w:rsidR="00E441B5" w:rsidRDefault="00E441B5" w:rsidP="00E441B5">
      <w:pPr>
        <w:pStyle w:val="ConsPlusNormal"/>
        <w:jc w:val="right"/>
      </w:pPr>
      <w:r>
        <w:t>для целей бухгалтерского учета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jc w:val="center"/>
      </w:pPr>
      <w:bookmarkStart w:id="0" w:name="P5411"/>
      <w:bookmarkEnd w:id="0"/>
      <w:r>
        <w:rPr>
          <w:b/>
        </w:rPr>
        <w:t>Положение о комиссии по поступлению и выбытию активов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jc w:val="center"/>
      </w:pPr>
      <w:r>
        <w:rPr>
          <w:b/>
        </w:rPr>
        <w:t>1. Общие положения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4" w:history="1">
        <w:r>
          <w:rPr>
            <w:color w:val="0000FF"/>
          </w:rPr>
          <w:t>Инструкцией</w:t>
        </w:r>
      </w:hyperlink>
      <w:r>
        <w:t xml:space="preserve"> N 157н и </w:t>
      </w:r>
      <w:hyperlink r:id="rId5" w:history="1">
        <w:r>
          <w:rPr>
            <w:color w:val="0000FF"/>
          </w:rPr>
          <w:t>Инструкцией</w:t>
        </w:r>
      </w:hyperlink>
      <w:r>
        <w:t xml:space="preserve"> N 183н.</w:t>
      </w:r>
    </w:p>
    <w:p w:rsidR="00E441B5" w:rsidRDefault="00E441B5" w:rsidP="00E441B5">
      <w:pPr>
        <w:pStyle w:val="ConsPlusNormal"/>
        <w:ind w:firstLine="540"/>
        <w:jc w:val="both"/>
      </w:pPr>
      <w:r>
        <w:t>1.2. Состав комиссии по поступлению и выбытию активов (далее - комиссия) утверждается ежегодно отдельным приказом руководителя.</w:t>
      </w:r>
    </w:p>
    <w:p w:rsidR="00E441B5" w:rsidRDefault="00E441B5" w:rsidP="00E441B5">
      <w:pPr>
        <w:pStyle w:val="ConsPlusNormal"/>
        <w:ind w:firstLine="540"/>
        <w:jc w:val="both"/>
      </w:pPr>
      <w: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441B5" w:rsidRDefault="00E441B5" w:rsidP="00E441B5">
      <w:pPr>
        <w:pStyle w:val="ConsPlusNormal"/>
        <w:ind w:firstLine="540"/>
        <w:jc w:val="both"/>
      </w:pPr>
      <w:r>
        <w:t>1.4. Комиссия проводит заседания по мере необходимости.</w:t>
      </w:r>
    </w:p>
    <w:p w:rsidR="00E441B5" w:rsidRDefault="00E441B5" w:rsidP="00E441B5">
      <w:pPr>
        <w:pStyle w:val="ConsPlusNormal"/>
        <w:ind w:firstLine="540"/>
        <w:jc w:val="both"/>
      </w:pPr>
      <w:r>
        <w:t>1.5. Срок рассмотрения комиссией представленных ей документов не должен превышать 14 календарных дней.</w:t>
      </w:r>
    </w:p>
    <w:p w:rsidR="00E441B5" w:rsidRDefault="00E441B5" w:rsidP="00E441B5">
      <w:pPr>
        <w:pStyle w:val="ConsPlusNormal"/>
        <w:ind w:firstLine="540"/>
        <w:jc w:val="both"/>
      </w:pPr>
      <w:r>
        <w:t>1.6. Заседание комиссии правомочно при наличии на ее заседании не менее двух третей членов ее состава.</w:t>
      </w:r>
    </w:p>
    <w:p w:rsidR="00E441B5" w:rsidRDefault="00E441B5" w:rsidP="00E441B5">
      <w:pPr>
        <w:pStyle w:val="ConsPlusNormal"/>
        <w:ind w:firstLine="540"/>
        <w:jc w:val="both"/>
      </w:pPr>
      <w:r>
        <w:t>1.7. В случае отсутствия у учреждения работников,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1.8. Если договором, заключенным с экспертом, участвующим в работе комиссии, предусмотрена </w:t>
      </w:r>
      <w:proofErr w:type="spellStart"/>
      <w:r>
        <w:t>возмездность</w:t>
      </w:r>
      <w:proofErr w:type="spellEnd"/>
      <w:r>
        <w:t xml:space="preserve"> оказания услуг эксперта, оплата его труда осуществляется за счет средств субсидии на выполнение государственного задания.</w:t>
      </w:r>
    </w:p>
    <w:p w:rsidR="00E441B5" w:rsidRDefault="00E441B5" w:rsidP="00E441B5">
      <w:pPr>
        <w:pStyle w:val="ConsPlusNormal"/>
        <w:ind w:firstLine="540"/>
        <w:jc w:val="both"/>
      </w:pPr>
      <w:r>
        <w:t>1.9. Экспертом не может быть материально ответственное лицо учреждения.</w:t>
      </w:r>
    </w:p>
    <w:p w:rsidR="00E441B5" w:rsidRDefault="00E441B5" w:rsidP="00E441B5">
      <w:pPr>
        <w:pStyle w:val="ConsPlusNormal"/>
        <w:ind w:firstLine="540"/>
        <w:jc w:val="both"/>
      </w:pPr>
      <w:r>
        <w:t>1.10. Решение комиссии, принятое на заседании, оформляется протоколом, который подписывают председатель и члены комиссии, присутствовавшие на заседании.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jc w:val="center"/>
      </w:pPr>
      <w:r>
        <w:rPr>
          <w:b/>
        </w:rPr>
        <w:t>2. Принятие решений по поступлению активов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ind w:firstLine="540"/>
        <w:jc w:val="both"/>
      </w:pPr>
      <w:r>
        <w:t>2.1. В части поступления активов комиссия принимает решения по следующим вопросам:</w:t>
      </w:r>
    </w:p>
    <w:p w:rsidR="00E441B5" w:rsidRDefault="00E441B5" w:rsidP="00E441B5">
      <w:pPr>
        <w:pStyle w:val="ConsPlusNormal"/>
        <w:ind w:firstLine="540"/>
        <w:jc w:val="both"/>
      </w:pPr>
      <w:r>
        <w:t>- об определении, к какой категории нефинансовых активов (основные средства, нематериальные активы или материальные запасы) относится поступившее имущество;</w:t>
      </w:r>
    </w:p>
    <w:p w:rsidR="00E441B5" w:rsidRDefault="00E441B5" w:rsidP="00E441B5">
      <w:pPr>
        <w:pStyle w:val="ConsPlusNormal"/>
        <w:ind w:firstLine="540"/>
        <w:jc w:val="both"/>
      </w:pPr>
      <w:r>
        <w:t>- о наличии признаков отнесения поступившего объекта нефинансовых активов к особо ценному движимому имуществу;</w:t>
      </w:r>
    </w:p>
    <w:p w:rsidR="00E441B5" w:rsidRDefault="00E441B5" w:rsidP="00E441B5">
      <w:pPr>
        <w:pStyle w:val="ConsPlusNormal"/>
        <w:ind w:firstLine="540"/>
        <w:jc w:val="both"/>
      </w:pPr>
      <w:r>
        <w:t>- об определении первоначальной (фактической) стоимости поступивших объектов нефинансовых активов;</w:t>
      </w:r>
    </w:p>
    <w:p w:rsidR="00E441B5" w:rsidRDefault="00E441B5" w:rsidP="00E441B5">
      <w:pPr>
        <w:pStyle w:val="ConsPlusNormal"/>
        <w:ind w:firstLine="540"/>
        <w:jc w:val="both"/>
      </w:pPr>
      <w:r>
        <w:t>-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2.2. Принятие решений об отнесении поступившего имущества к объектам основных средств, нематериальных активов или материальных запасов осуществляется на основании </w:t>
      </w:r>
      <w:hyperlink r:id="rId6" w:history="1">
        <w:r>
          <w:rPr>
            <w:color w:val="0000FF"/>
          </w:rPr>
          <w:t>Инструкции</w:t>
        </w:r>
      </w:hyperlink>
      <w:r>
        <w:t xml:space="preserve"> N 157н, других нормативных правовых актов.</w:t>
      </w:r>
    </w:p>
    <w:p w:rsidR="00E441B5" w:rsidRDefault="00E441B5" w:rsidP="00E441B5">
      <w:pPr>
        <w:pStyle w:val="ConsPlusNormal"/>
        <w:ind w:firstLine="540"/>
        <w:jc w:val="both"/>
      </w:pPr>
      <w:r>
        <w:t>2.3.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имущества, утвержденным Министерством образования и науки Архангельской области.</w:t>
      </w:r>
    </w:p>
    <w:p w:rsidR="00E441B5" w:rsidRDefault="00E441B5" w:rsidP="00E441B5">
      <w:pPr>
        <w:pStyle w:val="ConsPlusNormal"/>
        <w:ind w:firstLine="540"/>
        <w:jc w:val="both"/>
      </w:pPr>
      <w:r>
        <w:t>2.4. Решение о первоначальной (фактической)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счетов-фактур, накладных и других сопроводительных документов поставщика.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2.5. Определение первоначальной (фактической) стоимости нефинансовых активов, </w:t>
      </w:r>
      <w:r>
        <w:lastRenderedPageBreak/>
        <w:t xml:space="preserve">поступивших по договорам дарения, пожертвования, оприходованных в виде излишков, выявленных при инвентаризации, осуществляется в соответствии с </w:t>
      </w:r>
      <w:hyperlink r:id="rId7" w:history="1">
        <w:r>
          <w:rPr>
            <w:color w:val="0000FF"/>
          </w:rPr>
          <w:t>п. 25</w:t>
        </w:r>
      </w:hyperlink>
      <w:r>
        <w:t xml:space="preserve"> Инструкции N 157н.</w:t>
      </w:r>
    </w:p>
    <w:p w:rsidR="00E441B5" w:rsidRDefault="00E441B5" w:rsidP="00E441B5">
      <w:pPr>
        <w:pStyle w:val="ConsPlusNormal"/>
        <w:ind w:firstLine="540"/>
        <w:jc w:val="both"/>
      </w:pPr>
      <w:r>
        <w:t>2.6. Первоначальная (фактическая) стоимость нефинансовых активов при их безвозмездном получении от Министерства образования и науки Архангельской области, а также других учреждений (организаций) определяется на основании данных о первоначальной стоимости предыдущего балансодержателя, указанной в акте о приеме-передаче.</w:t>
      </w:r>
    </w:p>
    <w:p w:rsidR="00E441B5" w:rsidRDefault="00E441B5" w:rsidP="00E441B5">
      <w:pPr>
        <w:pStyle w:val="ConsPlusNormal"/>
        <w:ind w:firstLine="540"/>
        <w:jc w:val="both"/>
      </w:pPr>
      <w:r>
        <w:t>2.7. В случае достройки, реконструкции, модернизации объектов основных сре</w:t>
      </w:r>
      <w:proofErr w:type="gramStart"/>
      <w:r>
        <w:t>дств пр</w:t>
      </w:r>
      <w:proofErr w:type="gramEnd"/>
      <w:r>
        <w:t xml:space="preserve">оизводится увеличение их первоначальной стоимости. При приеме объектов основных средств из достройки, реконструкции, модернизации комиссией оформляется Акт приема-сдачи отремонтированных, реконструированных и модернизированных объектов основных средств </w:t>
      </w:r>
      <w:hyperlink r:id="rId8" w:history="1">
        <w:r>
          <w:rPr>
            <w:color w:val="0000FF"/>
          </w:rPr>
          <w:t>(ф. 0504103)</w:t>
        </w:r>
      </w:hyperlink>
      <w:r>
        <w:t>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2.8. Поступление нефинансовых активов оформляется комиссией первичными документами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Минфина России от 30.03.2015 N 52н.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2.9. Решение о сроках полезного использования поступивших основных средств, нематериальных активов и начисления амортизации принимается комиссией в соответствии с </w:t>
      </w:r>
      <w:hyperlink r:id="rId10" w:history="1">
        <w:r>
          <w:rPr>
            <w:color w:val="0000FF"/>
          </w:rPr>
          <w:t>п. 44</w:t>
        </w:r>
      </w:hyperlink>
      <w:r>
        <w:t xml:space="preserve"> Инструкции N 157н, Учетной политикой учреждения, </w:t>
      </w:r>
      <w:hyperlink r:id="rId11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РФ от 01.01.2002 N 1, документами производителя, входящими в комплектацию основных средств.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По объектам основных средств, по которым отсутствует информация о сроках полезного использования в </w:t>
      </w:r>
      <w:hyperlink r:id="rId12" w:history="1">
        <w:r>
          <w:rPr>
            <w:color w:val="0000FF"/>
          </w:rPr>
          <w:t>Классификации</w:t>
        </w:r>
      </w:hyperlink>
      <w:r>
        <w:t xml:space="preserve"> основных средств и документах производителя, комиссия принимает решение самостоятельно с учетом:</w:t>
      </w:r>
    </w:p>
    <w:p w:rsidR="00E441B5" w:rsidRDefault="00E441B5" w:rsidP="00E441B5">
      <w:pPr>
        <w:pStyle w:val="ConsPlusNormal"/>
        <w:ind w:firstLine="540"/>
        <w:jc w:val="both"/>
      </w:pPr>
      <w:r>
        <w:t>- ожидаемого срока использования этого объекта в соответствии с ожидаемой производительностью или мощностью;</w:t>
      </w:r>
    </w:p>
    <w:p w:rsidR="00E441B5" w:rsidRDefault="00E441B5" w:rsidP="00E441B5">
      <w:pPr>
        <w:pStyle w:val="ConsPlusNormal"/>
        <w:ind w:firstLine="540"/>
        <w:jc w:val="both"/>
      </w:pPr>
      <w: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E441B5" w:rsidRDefault="00E441B5" w:rsidP="00E441B5">
      <w:pPr>
        <w:pStyle w:val="ConsPlusNormal"/>
        <w:ind w:firstLine="540"/>
        <w:jc w:val="both"/>
      </w:pPr>
      <w:r>
        <w:t>- нормативно-правовых и других ограничений использования этого объекта;</w:t>
      </w:r>
    </w:p>
    <w:p w:rsidR="00E441B5" w:rsidRDefault="00E441B5" w:rsidP="00E441B5">
      <w:pPr>
        <w:pStyle w:val="ConsPlusNormal"/>
        <w:ind w:firstLine="540"/>
        <w:jc w:val="both"/>
      </w:pPr>
      <w:r>
        <w:t>- гарантийного срока использования объекта;</w:t>
      </w:r>
    </w:p>
    <w:p w:rsidR="00E441B5" w:rsidRDefault="00E441B5" w:rsidP="00E441B5">
      <w:pPr>
        <w:pStyle w:val="ConsPlusNormal"/>
        <w:ind w:firstLine="540"/>
        <w:jc w:val="both"/>
      </w:pPr>
      <w: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E441B5" w:rsidRDefault="00E441B5" w:rsidP="00E441B5">
      <w:pPr>
        <w:pStyle w:val="ConsPlusNormal"/>
        <w:ind w:firstLine="540"/>
        <w:jc w:val="both"/>
      </w:pPr>
      <w:r>
        <w:t>2.10.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E441B5" w:rsidRDefault="00E441B5" w:rsidP="00E441B5">
      <w:pPr>
        <w:pStyle w:val="ConsPlusNormal"/>
        <w:ind w:firstLine="540"/>
        <w:jc w:val="both"/>
      </w:pPr>
      <w:r>
        <w:t>2.11. 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 учреждения.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jc w:val="center"/>
      </w:pPr>
      <w:r>
        <w:rPr>
          <w:b/>
        </w:rPr>
        <w:t>3. Принятие решений по выбытию (списанию)</w:t>
      </w:r>
    </w:p>
    <w:p w:rsidR="00E441B5" w:rsidRDefault="00E441B5" w:rsidP="00E441B5">
      <w:pPr>
        <w:pStyle w:val="ConsPlusNormal"/>
        <w:jc w:val="center"/>
      </w:pPr>
      <w:r>
        <w:rPr>
          <w:b/>
        </w:rPr>
        <w:t>активов и задолженности</w:t>
      </w:r>
    </w:p>
    <w:p w:rsidR="00E441B5" w:rsidRDefault="00E441B5" w:rsidP="00E441B5">
      <w:pPr>
        <w:pStyle w:val="ConsPlusNormal"/>
        <w:jc w:val="both"/>
      </w:pPr>
    </w:p>
    <w:p w:rsidR="00E441B5" w:rsidRDefault="00E441B5" w:rsidP="00E441B5">
      <w:pPr>
        <w:pStyle w:val="ConsPlusNormal"/>
        <w:ind w:firstLine="540"/>
        <w:jc w:val="both"/>
      </w:pPr>
      <w:r>
        <w:t>3.1. В части выбытия (списания) активов и задолженности комиссия принимает решения по следующим вопросам: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- о выбытии (списании) нефинансовых активов (в том числе объектов, стоимостью до 3000 руб. включительно, учитываемых на </w:t>
      </w:r>
      <w:proofErr w:type="spellStart"/>
      <w:r>
        <w:t>забалансовом</w:t>
      </w:r>
      <w:proofErr w:type="spellEnd"/>
      <w:r>
        <w:t xml:space="preserve"> счете 21);</w:t>
      </w:r>
    </w:p>
    <w:p w:rsidR="00E441B5" w:rsidRDefault="00E441B5" w:rsidP="00E441B5">
      <w:pPr>
        <w:pStyle w:val="ConsPlusNormal"/>
        <w:ind w:firstLine="540"/>
        <w:jc w:val="both"/>
      </w:pPr>
      <w:r>
        <w:t>- пригодности для дальнейшего использования отдельных узлов, деталей, конструкций и материалов, полученных в результате списания объектов основных средств;</w:t>
      </w:r>
    </w:p>
    <w:p w:rsidR="00E441B5" w:rsidRDefault="00E441B5" w:rsidP="00E441B5">
      <w:pPr>
        <w:pStyle w:val="ConsPlusNormal"/>
        <w:ind w:firstLine="540"/>
        <w:jc w:val="both"/>
      </w:pPr>
      <w:r>
        <w:t>- частичной ликвидации (</w:t>
      </w:r>
      <w:proofErr w:type="spellStart"/>
      <w:r>
        <w:t>разукомплектации</w:t>
      </w:r>
      <w:proofErr w:type="spellEnd"/>
      <w:r>
        <w:t>) основных средств;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- </w:t>
      </w:r>
      <w:proofErr w:type="gramStart"/>
      <w:r>
        <w:t>выбытии</w:t>
      </w:r>
      <w:proofErr w:type="gramEnd"/>
      <w:r>
        <w:t xml:space="preserve"> периодических изданий, учитываемых на </w:t>
      </w:r>
      <w:proofErr w:type="spellStart"/>
      <w:r>
        <w:t>забалансовом</w:t>
      </w:r>
      <w:proofErr w:type="spellEnd"/>
      <w:r>
        <w:t xml:space="preserve"> счете 23;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- </w:t>
      </w:r>
      <w:proofErr w:type="gramStart"/>
      <w:r>
        <w:t>списании</w:t>
      </w:r>
      <w:proofErr w:type="gramEnd"/>
      <w:r>
        <w:t xml:space="preserve"> задолженности с </w:t>
      </w:r>
      <w:proofErr w:type="spellStart"/>
      <w:r>
        <w:t>забалансового</w:t>
      </w:r>
      <w:proofErr w:type="spellEnd"/>
      <w:r>
        <w:t xml:space="preserve"> счета 04.</w:t>
      </w:r>
    </w:p>
    <w:p w:rsidR="00E441B5" w:rsidRDefault="00E441B5" w:rsidP="00E441B5">
      <w:pPr>
        <w:pStyle w:val="ConsPlusNormal"/>
        <w:ind w:firstLine="540"/>
        <w:jc w:val="both"/>
      </w:pPr>
      <w:r>
        <w:t>3.2. Решение о выбытии имущества учреждения принимается в случае, если:</w:t>
      </w:r>
    </w:p>
    <w:p w:rsidR="00E441B5" w:rsidRDefault="00E441B5" w:rsidP="00E441B5">
      <w:pPr>
        <w:pStyle w:val="ConsPlusNormal"/>
        <w:ind w:firstLine="540"/>
        <w:jc w:val="both"/>
      </w:pPr>
      <w:r>
        <w:t>- имущество непригодно для дальнейшего использования вследствие полной или частичной утраты потребительских свойств, в том числе физического или морального износа;</w:t>
      </w:r>
    </w:p>
    <w:p w:rsidR="00E441B5" w:rsidRDefault="00E441B5" w:rsidP="00E441B5">
      <w:pPr>
        <w:pStyle w:val="ConsPlusNormal"/>
        <w:ind w:firstLine="540"/>
        <w:jc w:val="both"/>
      </w:pPr>
      <w:proofErr w:type="gramStart"/>
      <w:r>
        <w:t xml:space="preserve">- имущество выбыло из владения, пользования, распоряжения вследствие гибели или </w:t>
      </w:r>
      <w:r>
        <w:lastRenderedPageBreak/>
        <w:t>уничтожения, в том числе помимо воли учреждения (хищения, недостачи, порчи, выявленных при инвентаризации);</w:t>
      </w:r>
      <w:proofErr w:type="gramEnd"/>
    </w:p>
    <w:p w:rsidR="00E441B5" w:rsidRDefault="00E441B5" w:rsidP="00E441B5">
      <w:pPr>
        <w:pStyle w:val="ConsPlusNormal"/>
        <w:ind w:firstLine="540"/>
        <w:jc w:val="both"/>
      </w:pPr>
      <w:proofErr w:type="gramStart"/>
      <w: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  <w:proofErr w:type="gramEnd"/>
    </w:p>
    <w:p w:rsidR="00E441B5" w:rsidRDefault="00E441B5" w:rsidP="00E441B5">
      <w:pPr>
        <w:pStyle w:val="ConsPlusNormal"/>
        <w:ind w:firstLine="540"/>
        <w:jc w:val="both"/>
      </w:pPr>
      <w:r>
        <w:t>- в других случаях прекращения права оперативного управления, предусмотренных законодательством РФ.</w:t>
      </w:r>
    </w:p>
    <w:p w:rsidR="00E441B5" w:rsidRDefault="00E441B5" w:rsidP="00E441B5">
      <w:pPr>
        <w:pStyle w:val="ConsPlusNormal"/>
        <w:ind w:firstLine="540"/>
        <w:jc w:val="both"/>
      </w:pPr>
      <w:r>
        <w:t>3.3. Решение о списании имущества и задолженности принимается комиссией после проведения следующих мероприятий:</w:t>
      </w:r>
    </w:p>
    <w:p w:rsidR="00E441B5" w:rsidRDefault="00E441B5" w:rsidP="00E441B5">
      <w:pPr>
        <w:pStyle w:val="ConsPlusNormal"/>
        <w:ind w:firstLine="540"/>
        <w:jc w:val="both"/>
      </w:pPr>
      <w:r>
        <w:t>- осмотра имущества, подлежащего списанию, с учетом данных, содержащихся в учетно-технической и иной документации;</w:t>
      </w:r>
    </w:p>
    <w:p w:rsidR="00E441B5" w:rsidRDefault="00E441B5" w:rsidP="00E441B5">
      <w:pPr>
        <w:pStyle w:val="ConsPlusNormal"/>
        <w:ind w:firstLine="540"/>
        <w:jc w:val="both"/>
      </w:pPr>
      <w:r>
        <w:t>- принятия решения по вопросу о пригодности дальнейшего использования имущества, возможности и эффективности его восстановления;</w:t>
      </w:r>
    </w:p>
    <w:p w:rsidR="00E441B5" w:rsidRDefault="00E441B5" w:rsidP="00E441B5">
      <w:pPr>
        <w:pStyle w:val="ConsPlusNormal"/>
        <w:ind w:firstLine="540"/>
        <w:jc w:val="both"/>
      </w:pPr>
      <w:r>
        <w:t>- принятия решения о возможности использования отдельных узлов, деталей, конструкций и материалов от списания имущества;</w:t>
      </w:r>
    </w:p>
    <w:p w:rsidR="00E441B5" w:rsidRDefault="00E441B5" w:rsidP="00E441B5">
      <w:pPr>
        <w:pStyle w:val="ConsPlusNormal"/>
        <w:ind w:firstLine="540"/>
        <w:jc w:val="both"/>
      </w:pPr>
      <w:proofErr w:type="gramStart"/>
      <w:r>
        <w:t>- установления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E441B5" w:rsidRDefault="00E441B5" w:rsidP="00E441B5">
      <w:pPr>
        <w:pStyle w:val="ConsPlusNormal"/>
        <w:ind w:firstLine="540"/>
        <w:jc w:val="both"/>
      </w:pPr>
      <w:r>
        <w:t>- установления лиц, виновных в списании имущества, до истечения срока его полезного использования;</w:t>
      </w:r>
    </w:p>
    <w:p w:rsidR="00E441B5" w:rsidRDefault="00E441B5" w:rsidP="00E441B5">
      <w:pPr>
        <w:pStyle w:val="ConsPlusNormal"/>
        <w:ind w:firstLine="540"/>
        <w:jc w:val="both"/>
      </w:pPr>
      <w:r>
        <w:t>- проверки документов, необходимых для списания задолженности неплатежеспособных дебиторов;</w:t>
      </w:r>
    </w:p>
    <w:p w:rsidR="00E441B5" w:rsidRDefault="00E441B5" w:rsidP="00E441B5">
      <w:pPr>
        <w:pStyle w:val="ConsPlusNormal"/>
        <w:ind w:firstLine="540"/>
        <w:jc w:val="both"/>
      </w:pPr>
      <w:r>
        <w:t>- подготовки документов, необходимых для согласования решения о списании имущества с Министерством образования и науки Архангельской области.</w:t>
      </w:r>
    </w:p>
    <w:p w:rsidR="00E441B5" w:rsidRDefault="00E441B5" w:rsidP="00E441B5">
      <w:pPr>
        <w:pStyle w:val="ConsPlusNormal"/>
        <w:ind w:firstLine="540"/>
        <w:jc w:val="both"/>
      </w:pPr>
      <w:r>
        <w:t xml:space="preserve">3.4. Выбытие (списание) нефинансовых активов оформляется документами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Минфина России от 30.03.2015 N 52н.</w:t>
      </w:r>
    </w:p>
    <w:p w:rsidR="00E441B5" w:rsidRDefault="00E441B5" w:rsidP="00E441B5">
      <w:pPr>
        <w:pStyle w:val="ConsPlusNormal"/>
        <w:ind w:firstLine="540"/>
        <w:jc w:val="both"/>
      </w:pPr>
      <w:r>
        <w:t>3.5. Оформленный комиссией акт о списании недвижимого и особо ценного движимого имущества утверждается руководителем учреждения после согласования с Министерством образования и науки Архангельской области.</w:t>
      </w:r>
    </w:p>
    <w:p w:rsidR="00E441B5" w:rsidRDefault="00E441B5" w:rsidP="00E441B5">
      <w:pPr>
        <w:pStyle w:val="ConsPlusNormal"/>
        <w:ind w:firstLine="540"/>
        <w:jc w:val="both"/>
      </w:pPr>
      <w:r>
        <w:t>Акт о списании иного движимого имущества, а также недвижимого имущества, приобретенного за счет собственных средств учреждения, утверждается руководителем учреждения самостоятельно.</w:t>
      </w:r>
    </w:p>
    <w:p w:rsidR="00E441B5" w:rsidRDefault="00E441B5" w:rsidP="00E441B5">
      <w:pPr>
        <w:pStyle w:val="ConsPlusNormal"/>
        <w:ind w:firstLine="540"/>
        <w:jc w:val="both"/>
      </w:pPr>
      <w:r>
        <w:t>3.6.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E441B5" w:rsidRDefault="00E441B5" w:rsidP="00E441B5">
      <w:pPr>
        <w:pStyle w:val="ConsPlusNormal"/>
        <w:ind w:firstLine="540"/>
        <w:jc w:val="both"/>
      </w:pPr>
      <w:r>
        <w:t>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комиссией.</w:t>
      </w:r>
    </w:p>
    <w:p w:rsidR="00E441B5" w:rsidRDefault="00E441B5" w:rsidP="00E441B5">
      <w:pPr>
        <w:pStyle w:val="ConsPlusNormal"/>
        <w:jc w:val="both"/>
      </w:pPr>
    </w:p>
    <w:p w:rsidR="00801D03" w:rsidRDefault="001B7F0C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E441B5"/>
    <w:rsid w:val="00156776"/>
    <w:rsid w:val="001B7F0C"/>
    <w:rsid w:val="008A7269"/>
    <w:rsid w:val="008B7A94"/>
    <w:rsid w:val="00BE0CE5"/>
    <w:rsid w:val="00BF7FE5"/>
    <w:rsid w:val="00E4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ACF6441EA81297B9C9FC5710824F089C2B0CDFA185E189A8E8E418C9B38433CEA62B03A84E89CI265M" TargetMode="External"/><Relationship Id="rId13" Type="http://schemas.openxmlformats.org/officeDocument/2006/relationships/hyperlink" Target="consultantplus://offline/ref=423ACF6441EA81297B9C9FC5710824F089C2B0CDFA185E189A8E8E418CI96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ACF6441EA81297B9C9FC5710824F089CDB2CEFD165E189A8E8E418C9B38433CEA62B03CI864M" TargetMode="External"/><Relationship Id="rId12" Type="http://schemas.openxmlformats.org/officeDocument/2006/relationships/hyperlink" Target="consultantplus://offline/ref=423ACF6441EA81297B9C9FC5710824F089CDB5CEF9175E189A8E8E418C9B38433CEA62B03A84EB9DI26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ACF6441EA81297B9C9FC5710824F089CDB2CEFD165E189A8E8E418C9B38433CEA62B03A84E894I263M" TargetMode="External"/><Relationship Id="rId11" Type="http://schemas.openxmlformats.org/officeDocument/2006/relationships/hyperlink" Target="consultantplus://offline/ref=423ACF6441EA81297B9C9FC5710824F089CDB5CEF9175E189A8E8E418C9B38433CEA62B03A84EB9DI265M" TargetMode="External"/><Relationship Id="rId5" Type="http://schemas.openxmlformats.org/officeDocument/2006/relationships/hyperlink" Target="consultantplus://offline/ref=423ACF6441EA81297B9C9FC5710824F089C5BFCDFB1E5E189A8E8E418C9B38433CEA62B03A84EC94I26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3ACF6441EA81297B9C9FC5710824F089CDB2CEFD165E189A8E8E418C9B38433CEA62B03A84EE99I262M" TargetMode="External"/><Relationship Id="rId4" Type="http://schemas.openxmlformats.org/officeDocument/2006/relationships/hyperlink" Target="consultantplus://offline/ref=423ACF6441EA81297B9C9FC5710824F089CDB2CEFD165E189A8E8E418C9B38433CEA62B03A84E894I263M" TargetMode="External"/><Relationship Id="rId9" Type="http://schemas.openxmlformats.org/officeDocument/2006/relationships/hyperlink" Target="consultantplus://offline/ref=423ACF6441EA81297B9C9FC5710824F089C2B0CDFA185E189A8E8E418CI96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2018-09-27T09:27:00Z</dcterms:created>
  <dcterms:modified xsi:type="dcterms:W3CDTF">2018-09-27T09:38:00Z</dcterms:modified>
</cp:coreProperties>
</file>